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tabs>
          <w:tab w:val="left" w:leader="none" w:pos="360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th80v5du09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Annexure 7: Bidder’s Past Experience</w:t>
      </w:r>
    </w:p>
    <w:p w:rsidR="00000000" w:rsidDel="00000000" w:rsidP="00000000" w:rsidRDefault="00000000" w:rsidRPr="00000000" w14:paraId="00000002">
      <w:pPr>
        <w:tabs>
          <w:tab w:val="left" w:leader="none" w:pos="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tabs>
          <w:tab w:val="left" w:leader="none" w:pos="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To,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International Institute of Information Technology Bangalore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26/C, Electronics City Phase 1,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Hosur Road, Bengaluru,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Karnataka – 560 100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Sir,</w:t>
      </w:r>
    </w:p>
    <w:p w:rsidR="00000000" w:rsidDel="00000000" w:rsidP="00000000" w:rsidRDefault="00000000" w:rsidRPr="00000000" w14:paraId="0000000E">
      <w:pPr>
        <w:widowControl w:val="0"/>
        <w:spacing w:before="134" w:line="240" w:lineRule="auto"/>
        <w:ind w:right="-108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Reference: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RFP for  Expansion and support service for MahaVISTAAR, IIITB/COSS/2025/OpenAgriNet - MahaVISTAAR, 03-Jul-2025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1080"/>
        <w:gridCol w:w="1095"/>
        <w:gridCol w:w="899"/>
        <w:gridCol w:w="1097"/>
        <w:gridCol w:w="1679"/>
        <w:gridCol w:w="1170"/>
        <w:gridCol w:w="1890"/>
        <w:tblGridChange w:id="0">
          <w:tblGrid>
            <w:gridCol w:w="630"/>
            <w:gridCol w:w="1080"/>
            <w:gridCol w:w="1095"/>
            <w:gridCol w:w="899"/>
            <w:gridCol w:w="1097"/>
            <w:gridCol w:w="1679"/>
            <w:gridCol w:w="1170"/>
            <w:gridCol w:w="1890"/>
          </w:tblGrid>
        </w:tblGridChange>
      </w:tblGrid>
      <w:tr>
        <w:trPr>
          <w:cantSplit w:val="0"/>
          <w:trHeight w:val="28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before="128" w:line="240" w:lineRule="auto"/>
              <w:ind w:left="4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before="117" w:line="246.99999999999994" w:lineRule="auto"/>
              <w:ind w:left="50" w:right="20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Client’s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before="117" w:line="246.99999999999994" w:lineRule="auto"/>
              <w:ind w:left="43" w:right="2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Client Vertical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before="117" w:line="246.99999999999994" w:lineRule="auto"/>
              <w:ind w:left="45" w:right="14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Scope of 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before="117" w:line="246.99999999999994" w:lineRule="auto"/>
              <w:ind w:left="108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of implementations &amp; size of team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1131"/>
              </w:tabs>
              <w:spacing w:before="117" w:line="246.99999999999994" w:lineRule="auto"/>
              <w:ind w:left="46" w:right="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Client Contact Details along with contact person name, designation, phone number &amp;   email 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before="117" w:line="240" w:lineRule="auto"/>
              <w:ind w:left="4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Remarks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685"/>
                <w:tab w:val="left" w:leader="none" w:pos="1125"/>
                <w:tab w:val="left" w:leader="none" w:pos="1336"/>
              </w:tabs>
              <w:spacing w:before="117" w:line="246.99999999999994" w:lineRule="auto"/>
              <w:ind w:left="47" w:right="23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Supporting Document attached (PO &amp; Credential Letter etc.)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18" w:line="240" w:lineRule="auto"/>
              <w:ind w:left="47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Yes/No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Place: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6181"/>
        </w:tabs>
        <w:spacing w:before="13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</w:t>
        <w:tab/>
        <w:t xml:space="preserve">Seal and signature of the bidder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(This letter should be on the letterhead of the bidder duly signed by an authorized signatory)</w:t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2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widowControl w:val="0"/>
      <w:tabs>
        <w:tab w:val="center" w:leader="none" w:pos="4680"/>
        <w:tab w:val="right" w:leader="none" w:pos="9360"/>
      </w:tabs>
      <w:spacing w:line="240" w:lineRule="auto"/>
      <w:rPr>
        <w:rFonts w:ascii="Cambria" w:cs="Cambria" w:eastAsia="Cambria" w:hAnsi="Cambria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i w:val="1"/>
        <w:sz w:val="20"/>
        <w:szCs w:val="20"/>
        <w:rtl w:val="0"/>
      </w:rPr>
      <w:t xml:space="preserve">Expansion and support service for MahaVISTAAR, IIITB/COSS/2025/OpenAgriNet - MahaVISTAAR, 3rd July 2025</w:t>
    </w:r>
    <w:r w:rsidDel="00000000" w:rsidR="00000000" w:rsidRPr="00000000">
      <w:rPr>
        <w:rFonts w:ascii="Cambria" w:cs="Cambria" w:eastAsia="Cambria" w:hAnsi="Cambria"/>
        <w:rtl w:val="0"/>
      </w:rPr>
      <w:tab/>
    </w:r>
  </w:p>
  <w:p w:rsidR="00000000" w:rsidDel="00000000" w:rsidP="00000000" w:rsidRDefault="00000000" w:rsidRPr="00000000" w14:paraId="00000042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right"/>
      <w:rPr/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38163" cy="44608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4460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